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0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</w:t>
            </w:r>
            <w:r>
              <w:rPr>
                <w:rFonts w:ascii="Times New Roman" w:hAnsi="Times New Roman"/>
              </w:rPr>
              <w:t xml:space="preserve"> письму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</w:t>
            </w:r>
            <w:r>
              <w:rPr>
                <w:rFonts w:ascii="Times New Roman" w:hAnsi="Times New Roman"/>
                <w:color w:themeColor="background1" w:val="FFFFFF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pStyle w:val="Style_3"/>
        <w:ind/>
        <w:jc w:val="center"/>
      </w:pPr>
      <w:r>
        <w:t>ПРЕСС-РЕЛИЗ</w:t>
      </w:r>
    </w:p>
    <w:p w14:paraId="14000000">
      <w:pPr>
        <w:pStyle w:val="Style_3"/>
        <w:ind/>
        <w:jc w:val="center"/>
      </w:pPr>
    </w:p>
    <w:p w14:paraId="15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Стартовал прием заявок на конкурс «Торговля Камчатки»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2022 года на Камчатке проводится конкурс «Торговля Камчатки», организованный Министерством экономического развития Камчатского края совместно с Союзом «Торгово-промышленная палата Камчатского края». Конкурс призван выявлять достижения в сфере многоформатной торговли, поддерживать успешный опыт регионального ритейла и способствовать активному развитию торговой отрасли.</w:t>
      </w: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Принять участие в конкурсе могут: администрации муниципальных образований в Камчатском крае и хозяйствующие субъекты, осуществляющие торговую деятельность на территории региона.</w:t>
      </w: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Отметим, что номинации конкурса «Торговля Камчатки» подобраны таким образом, чтобы представители как можно большего числа торговых объектов смогли принять участие в нем.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нкурс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проводится по следующим номинациям: «Лучшая фирменная сеть камчатского товаропроизводителя», «Лучший объект фаст-фуда, «Лучший мобильный торговый объект», «Лучший нестационарный торговый объект», «Лучший супермаркет», «Лучший сельский магазин», «Экономический прорыв», «Молодой директор», «Успешный старт-ап», «Навстречу людям», «Хранитель традиций», «Лучший продавец сельского поселения», «Превозмогая трудности», «Лучший объект торговли в торговом центре», «Лучший специализированный магазин», «Лучший магазин здорового питания», «С заботой об особенных людях», «Продвижение Камчатского края»,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«Лучший дистрибьютер в Камчатском крае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»,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Самый ответственный поставщик».</w:t>
      </w: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Уже традиционно в рамках конкурса проводится народное голосование, в котором жители Камчатского края выбирают победителя, отд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авая свои голоса за понравившиеся магазины. В 2024 году в номинации «Лучший магазин для всей семьи» победу одержал магазин «Магнолия» Вилючинского городского округа). В 2025 году голосование пройдет в номинации «Лучший магазин у дома», где победитель также будет определён на основе голосов, собранных в различных муниципальных образованиях региона. </w:t>
      </w:r>
    </w:p>
    <w:p w14:paraId="1A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Для участия в Конкурсе участникам рекомендуется заполнить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"https://www.kamgov.ru/files/661e036a6850e6.58022054.docx"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заявку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 странице Минэкономразвития Камчатского края официального сайта исполнительных органов Камчатского края </w:t>
      </w:r>
      <w:r>
        <w:rPr>
          <w:rFonts w:ascii="Times New Roman" w:hAnsi="Times New Roman"/>
          <w:sz w:val="28"/>
        </w:rPr>
        <w:t>и направить в отдел торговли, лицензирования и контроля алкогольно</w:t>
      </w:r>
      <w:r>
        <w:rPr>
          <w:rFonts w:ascii="Times New Roman" w:hAnsi="Times New Roman"/>
          <w:sz w:val="28"/>
        </w:rPr>
        <w:t xml:space="preserve">й продукции Министерства по адресу: Камчатский край, </w:t>
      </w:r>
      <w:r>
        <w:rPr>
          <w:rFonts w:ascii="Times New Roman" w:hAnsi="Times New Roman"/>
          <w:sz w:val="28"/>
        </w:rPr>
        <w:t>г. Петропавловск-Камчатский, ул. Ленинская, д. 18 (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 xml:space="preserve">. 413) или на адрес электронной почты: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"mailto:econ@kamgov.ru"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econ@kamgov.ru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Народное голосование доступно по ссылке: 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"https://pos.gosuslugi.ru/lkp/polls/516835/?utm_source=widget&amp;utm_medium=regional&amp;utm_campaign=kamgov.ru&amp;utm_content=30&amp;utm_term=3505_1074101008013_4101120816_410101001"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доступно по ссылке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 главной странице официального сайта Министерства экономического развития Камчатского края: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"https://www.kamgov.ru/minecon"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https://www.kamgov.ru/minecon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(баннер справа «Мой выбор, мое будущее» – участвовать – опросы – «Народное голосование в рамках конкурса «Торговля Камчатки»). </w:t>
      </w:r>
      <w:r>
        <w:rPr>
          <w:rFonts w:ascii="Times New Roman" w:hAnsi="Times New Roman"/>
          <w:color w:val="000000"/>
          <w:sz w:val="28"/>
        </w:rPr>
        <w:t>Ознакомиться с информацией о</w:t>
      </w:r>
      <w:r>
        <w:rPr>
          <w:rFonts w:ascii="Times New Roman" w:hAnsi="Times New Roman"/>
          <w:color w:val="000000"/>
          <w:sz w:val="28"/>
        </w:rPr>
        <w:t xml:space="preserve"> конкурсе м</w:t>
      </w:r>
      <w:r>
        <w:rPr>
          <w:rFonts w:ascii="Times New Roman" w:hAnsi="Times New Roman"/>
          <w:color w:val="000000"/>
          <w:sz w:val="28"/>
        </w:rPr>
        <w:t>ожно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"https://www.kamgov.ru/minecon/konkurs-lucsij-po-professii/torgovla-kamcatki"</w:instrText>
      </w:r>
      <w:r>
        <w:rPr>
          <w:rStyle w:val="Style_4_ch"/>
        </w:rPr>
        <w:fldChar w:fldCharType="separate"/>
      </w:r>
      <w:r>
        <w:rPr>
          <w:rStyle w:val="Style_4_ch"/>
        </w:rPr>
        <w:t>ссылке</w:t>
      </w:r>
      <w:r>
        <w:rPr>
          <w:rStyle w:val="Style_4_ch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1C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Телефоны для справок: +7 (4152) 42-56-80 (доб. 1543).</w:t>
      </w:r>
    </w:p>
    <w:sectPr>
      <w:headerReference r:id="rId1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Обычный1"/>
    <w:link w:val="Style_7_ch"/>
    <w:rPr>
      <w:sz w:val="28"/>
    </w:rPr>
  </w:style>
  <w:style w:styleId="Style_7_ch" w:type="character">
    <w:name w:val="Обычный1"/>
    <w:link w:val="Style_7"/>
    <w:rPr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widowControl w:val="0"/>
      <w:ind/>
      <w:jc w:val="center"/>
      <w:outlineLvl w:val="2"/>
    </w:pPr>
  </w:style>
  <w:style w:styleId="Style_12_ch" w:type="character">
    <w:name w:val="heading 3"/>
    <w:basedOn w:val="Style_3_ch"/>
    <w:link w:val="Style_12"/>
  </w:style>
  <w:style w:styleId="Style_13" w:type="paragraph">
    <w:name w:val="ConsPlusNormal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Знак Знак Знак Знак"/>
    <w:basedOn w:val="Style_3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 Знак Знак Знак"/>
    <w:basedOn w:val="Style_3_ch"/>
    <w:link w:val="Style_16"/>
    <w:rPr>
      <w:rFonts w:ascii="Verdana" w:hAnsi="Verdana"/>
      <w:sz w:val="20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0_ch" w:type="character">
    <w:name w:val="heading 1"/>
    <w:basedOn w:val="Style_3_ch"/>
    <w:link w:val="Style_20"/>
    <w:rPr>
      <w:rFonts w:ascii="Calibri Light" w:hAnsi="Calibri Light"/>
      <w:b w:val="1"/>
      <w:sz w:val="32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Знак"/>
    <w:basedOn w:val="Style_3"/>
    <w:link w:val="Style_26_ch"/>
    <w:pPr>
      <w:spacing w:after="160" w:line="240" w:lineRule="exact"/>
      <w:ind/>
    </w:pPr>
    <w:rPr>
      <w:rFonts w:ascii="Verdana" w:hAnsi="Verdana"/>
      <w:sz w:val="20"/>
    </w:rPr>
  </w:style>
  <w:style w:styleId="Style_26_ch" w:type="character">
    <w:name w:val="Знак"/>
    <w:basedOn w:val="Style_3_ch"/>
    <w:link w:val="Style_26"/>
    <w:rPr>
      <w:rFonts w:ascii="Verdana" w:hAnsi="Verdana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Обычный1"/>
    <w:link w:val="Style_30_ch"/>
    <w:rPr>
      <w:sz w:val="28"/>
    </w:rPr>
  </w:style>
  <w:style w:styleId="Style_30_ch" w:type="character">
    <w:name w:val="Обычный1"/>
    <w:link w:val="Style_30"/>
    <w:rPr>
      <w:sz w:val="28"/>
    </w:rPr>
  </w:style>
  <w:style w:styleId="Style_31" w:type="paragraph">
    <w:name w:val="Body Text"/>
    <w:basedOn w:val="Style_3"/>
    <w:link w:val="Style_31_ch"/>
    <w:pPr>
      <w:widowControl w:val="0"/>
      <w:ind/>
      <w:jc w:val="both"/>
    </w:pPr>
  </w:style>
  <w:style w:styleId="Style_31_ch" w:type="character">
    <w:name w:val="Body Text"/>
    <w:basedOn w:val="Style_3_ch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End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Endnote"/>
    <w:link w:val="Style_38"/>
    <w:rPr>
      <w:rFonts w:ascii="XO Thames" w:hAnsi="XO Thames"/>
      <w:sz w:val="22"/>
    </w:rPr>
  </w:style>
  <w:style w:styleId="Style_39" w:type="paragraph">
    <w:name w:val="heading 2"/>
    <w:basedOn w:val="Style_3"/>
    <w:next w:val="Style_3"/>
    <w:link w:val="Style_3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9_ch" w:type="character">
    <w:name w:val="heading 2"/>
    <w:basedOn w:val="Style_3_ch"/>
    <w:link w:val="Style_39"/>
    <w:rPr>
      <w:rFonts w:ascii="Calibri Light" w:hAnsi="Calibri Light"/>
      <w:b w:val="1"/>
      <w:i w:val="1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2025-04-30T04:16:48Z</dcterms:modified>
</cp:coreProperties>
</file>